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38F90" w14:textId="77777777" w:rsidR="009D43D3" w:rsidRDefault="009D43D3" w:rsidP="009D43D3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Inter" w:hAnsi="Inter"/>
          <w:color w:val="000000"/>
          <w:sz w:val="27"/>
          <w:szCs w:val="27"/>
        </w:rPr>
      </w:pPr>
      <w:r>
        <w:rPr>
          <w:rStyle w:val="title-1-color"/>
          <w:rFonts w:ascii="Inter" w:eastAsiaTheme="majorEastAsia" w:hAnsi="Inter"/>
          <w:b/>
          <w:bCs/>
          <w:i/>
          <w:iCs/>
          <w:color w:val="000000"/>
          <w:sz w:val="27"/>
          <w:szCs w:val="27"/>
        </w:rPr>
        <w:t>ORĘDZIE OJCA ŚWIĘTEGO LEONA XIV</w:t>
      </w:r>
      <w:r>
        <w:rPr>
          <w:rFonts w:ascii="Inter" w:hAnsi="Inter"/>
          <w:b/>
          <w:bCs/>
          <w:i/>
          <w:iCs/>
          <w:color w:val="000000"/>
          <w:sz w:val="27"/>
          <w:szCs w:val="27"/>
        </w:rPr>
        <w:br/>
      </w:r>
      <w:r>
        <w:rPr>
          <w:rStyle w:val="title-1-color"/>
          <w:rFonts w:ascii="Inter" w:eastAsiaTheme="majorEastAsia" w:hAnsi="Inter"/>
          <w:b/>
          <w:bCs/>
          <w:i/>
          <w:iCs/>
          <w:color w:val="000000"/>
          <w:sz w:val="27"/>
          <w:szCs w:val="27"/>
        </w:rPr>
        <w:t>NA LXIII ŚWIATOWY DZIEŃ MODLITW O POWOŁANIA</w:t>
      </w:r>
    </w:p>
    <w:p w14:paraId="0457912F" w14:textId="77777777" w:rsidR="009D43D3" w:rsidRDefault="009D43D3" w:rsidP="009D43D3">
      <w:pPr>
        <w:pStyle w:val="NormalnyWeb"/>
        <w:shd w:val="clear" w:color="auto" w:fill="FFFFFF"/>
        <w:spacing w:before="150" w:beforeAutospacing="0" w:after="150" w:afterAutospacing="0"/>
        <w:jc w:val="center"/>
        <w:rPr>
          <w:rFonts w:ascii="Inter" w:hAnsi="Inter"/>
          <w:color w:val="000000"/>
          <w:sz w:val="27"/>
          <w:szCs w:val="27"/>
        </w:rPr>
      </w:pPr>
      <w:r>
        <w:rPr>
          <w:rStyle w:val="color-text"/>
          <w:rFonts w:ascii="Inter" w:eastAsiaTheme="majorEastAsia" w:hAnsi="Inter"/>
          <w:color w:val="363636"/>
          <w:sz w:val="27"/>
          <w:szCs w:val="27"/>
        </w:rPr>
        <w:t>IV Niedziela Wielkanocna, 26 kwietnia 2026 r.</w:t>
      </w:r>
    </w:p>
    <w:p w14:paraId="2E6973F1" w14:textId="77777777" w:rsidR="009D43D3" w:rsidRDefault="009D43D3" w:rsidP="009D43D3">
      <w:pPr>
        <w:pStyle w:val="NormalnyWeb"/>
        <w:shd w:val="clear" w:color="auto" w:fill="FFFFFF"/>
        <w:spacing w:before="150" w:beforeAutospacing="0" w:after="150" w:afterAutospacing="0"/>
        <w:jc w:val="center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[</w:t>
      </w:r>
      <w:hyperlink r:id="rId4" w:history="1">
        <w:r>
          <w:rPr>
            <w:rStyle w:val="Hipercze"/>
            <w:rFonts w:ascii="Inter" w:eastAsiaTheme="majorEastAsia" w:hAnsi="Inter"/>
            <w:b/>
            <w:bCs/>
            <w:color w:val="765E32"/>
            <w:sz w:val="27"/>
            <w:szCs w:val="27"/>
          </w:rPr>
          <w:t>Multimedia</w:t>
        </w:r>
      </w:hyperlink>
      <w:r>
        <w:rPr>
          <w:rFonts w:ascii="Inter" w:hAnsi="Inter"/>
          <w:color w:val="000000"/>
          <w:sz w:val="27"/>
          <w:szCs w:val="27"/>
        </w:rPr>
        <w:t>]</w:t>
      </w:r>
    </w:p>
    <w:p w14:paraId="1E91C36A" w14:textId="77777777" w:rsidR="009D43D3" w:rsidRDefault="009D43D3" w:rsidP="009D43D3">
      <w:pPr>
        <w:pStyle w:val="NormalnyWeb"/>
        <w:shd w:val="clear" w:color="auto" w:fill="FFFFFF"/>
        <w:spacing w:before="150" w:beforeAutospacing="0" w:after="150" w:afterAutospacing="0"/>
        <w:jc w:val="center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_______________________</w:t>
      </w:r>
    </w:p>
    <w:p w14:paraId="59026B55" w14:textId="77777777" w:rsidR="009D43D3" w:rsidRDefault="009D43D3" w:rsidP="009D43D3">
      <w:pPr>
        <w:pStyle w:val="NormalnyWeb"/>
        <w:shd w:val="clear" w:color="auto" w:fill="FFFFFF"/>
        <w:spacing w:before="0" w:beforeAutospacing="0"/>
        <w:jc w:val="center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b/>
          <w:bCs/>
          <w:i/>
          <w:iCs/>
          <w:color w:val="000000"/>
          <w:sz w:val="27"/>
          <w:szCs w:val="27"/>
        </w:rPr>
        <w:t>Wewnętrzne odkrywanie daru Boga</w:t>
      </w:r>
    </w:p>
    <w:p w14:paraId="4CDC9410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i/>
          <w:iCs/>
          <w:color w:val="000000"/>
          <w:sz w:val="27"/>
          <w:szCs w:val="27"/>
        </w:rPr>
        <w:t>Drodzy Bracia i Siostry, najdrożsi Młodzi!</w:t>
      </w:r>
    </w:p>
    <w:p w14:paraId="45291123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Prowadzeni i strzeżeni przez Jezusa Zmartwychwstałego, w IV Niedzielę Wielkanocą, zwaną „Niedzielą Dobrego Pasterza”, obchodzimy LXIII Światowy Dzień Modlitw o Powołania. Jest to czas łaski, który sprzyja podzieleniu się kilkoma refleksjami na temat wewnętrznego wymiaru powołania, rozumianego jako odkrycie bezinteresownego daru Boga, który rozkwita w głębi serca każdego z nas. Podążajmy więc razem drogą prawdziwie pięknego życia, którą wskazuje nam Pasterz!</w:t>
      </w:r>
    </w:p>
    <w:p w14:paraId="5383580F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b/>
          <w:bCs/>
          <w:i/>
          <w:iCs/>
          <w:color w:val="000000"/>
          <w:sz w:val="27"/>
          <w:szCs w:val="27"/>
        </w:rPr>
        <w:t>Droga piękna</w:t>
      </w:r>
    </w:p>
    <w:p w14:paraId="70D62A50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W Ewangelii Janowej Jezus nazywa siebie dosłownie „pięknym pasterzem” (ὁ π</w:t>
      </w:r>
      <w:proofErr w:type="spellStart"/>
      <w:r>
        <w:rPr>
          <w:rFonts w:ascii="Inter" w:hAnsi="Inter"/>
          <w:color w:val="000000"/>
          <w:sz w:val="27"/>
          <w:szCs w:val="27"/>
        </w:rPr>
        <w:t>οιμὴν</w:t>
      </w:r>
      <w:proofErr w:type="spellEnd"/>
      <w:r>
        <w:rPr>
          <w:rFonts w:ascii="Inter" w:hAnsi="Inter"/>
          <w:color w:val="000000"/>
          <w:sz w:val="27"/>
          <w:szCs w:val="27"/>
        </w:rPr>
        <w:t xml:space="preserve"> ὁ κα</w:t>
      </w:r>
      <w:proofErr w:type="spellStart"/>
      <w:r>
        <w:rPr>
          <w:rFonts w:ascii="Inter" w:hAnsi="Inter"/>
          <w:color w:val="000000"/>
          <w:sz w:val="27"/>
          <w:szCs w:val="27"/>
        </w:rPr>
        <w:t>λός</w:t>
      </w:r>
      <w:proofErr w:type="spellEnd"/>
      <w:r>
        <w:rPr>
          <w:rFonts w:ascii="Inter" w:hAnsi="Inter"/>
          <w:color w:val="000000"/>
          <w:sz w:val="27"/>
          <w:szCs w:val="27"/>
        </w:rPr>
        <w:t>) ( </w:t>
      </w:r>
      <w:r>
        <w:rPr>
          <w:rFonts w:ascii="Inter" w:hAnsi="Inter"/>
          <w:i/>
          <w:iCs/>
          <w:color w:val="000000"/>
          <w:sz w:val="27"/>
          <w:szCs w:val="27"/>
        </w:rPr>
        <w:t>J</w:t>
      </w:r>
      <w:r>
        <w:rPr>
          <w:rFonts w:ascii="Inter" w:hAnsi="Inter"/>
          <w:color w:val="000000"/>
          <w:sz w:val="27"/>
          <w:szCs w:val="27"/>
        </w:rPr>
        <w:t xml:space="preserve"> 10, 11). Wyrażenie to oznacza pasterza doskonałego, autentycznego, godnego naśladowania, ponieważ jest gotów oddać życie za swoje owce, ukazując w ten sposób miłość Boga. Jest to Pasterz, który fascynuje: kto na Niego patrzy, odkrywa, że życie jest naprawdę piękne, jeśli się za Nim podąża. Aby poznać to piękno, nie wystarczają oczy ciała ani kryteria estetyczne: potrzebne są kontemplacja i wewnętrzna głębia. Tylko ten, kto zatrzymuje się, słucha, modli się i przyjmuje Jego spojrzenie, może z ufnością powiedzieć: „Ufam, z Nim życie może być naprawdę piękne, chcę podążać drogą tego piękna”. A najbardziej niezwykłe jest to, że stając się Jego uczniami, sami stajemy się „piękni” – Jego piękno nas przemienia. Jak pisze teolog Paweł </w:t>
      </w:r>
      <w:proofErr w:type="spellStart"/>
      <w:r>
        <w:rPr>
          <w:rFonts w:ascii="Inter" w:hAnsi="Inter"/>
          <w:color w:val="000000"/>
          <w:sz w:val="27"/>
          <w:szCs w:val="27"/>
        </w:rPr>
        <w:t>Florenski</w:t>
      </w:r>
      <w:proofErr w:type="spellEnd"/>
      <w:r>
        <w:rPr>
          <w:rFonts w:ascii="Inter" w:hAnsi="Inter"/>
          <w:color w:val="000000"/>
          <w:sz w:val="27"/>
          <w:szCs w:val="27"/>
        </w:rPr>
        <w:t>, ascetyka nie tworzy człowieka „dobrego”, lecz człowieka „pięknego” </w:t>
      </w:r>
      <w:bookmarkStart w:id="0" w:name="_ftnref1"/>
      <w:bookmarkEnd w:id="0"/>
      <w:r>
        <w:rPr>
          <w:rFonts w:ascii="Inter" w:hAnsi="Inter"/>
          <w:color w:val="000000"/>
          <w:sz w:val="27"/>
          <w:szCs w:val="27"/>
        </w:rPr>
        <w:t>[1]. Cechą wyróżniającą świętych – oprócz dobroci – jest bowiem promienna duchowa piękność, bijąca od tych, którzy żyją w Chrystusie. W ten sposób powołanie chrześcijańskie objawia się w całej swojej głębi: jest ono uczestniczeniem w życiu Chrystusa, dzieleniem Jego misji, jaśnieniem samym Jego pięknem.</w:t>
      </w:r>
    </w:p>
    <w:p w14:paraId="63222A5C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To wewnętrzne przekazywanie życia, wiary i sensu było również doświadczeniem św. Augustyna, który w trzeciej księdze </w:t>
      </w:r>
      <w:r>
        <w:rPr>
          <w:rFonts w:ascii="Inter" w:hAnsi="Inter"/>
          <w:i/>
          <w:iCs/>
          <w:color w:val="000000"/>
          <w:sz w:val="27"/>
          <w:szCs w:val="27"/>
        </w:rPr>
        <w:t>Wyznań</w:t>
      </w:r>
      <w:r>
        <w:rPr>
          <w:rFonts w:ascii="Inter" w:hAnsi="Inter"/>
          <w:color w:val="000000"/>
          <w:sz w:val="27"/>
          <w:szCs w:val="27"/>
        </w:rPr>
        <w:t>, wyjawiając i wyznając swoje młodzieńcze grzechy i błędy, mówi o Bogu: „Ty byłeś bardziej wewnątrz mnie, niż to co we mnie było najbardziej osobiste” </w:t>
      </w:r>
      <w:bookmarkStart w:id="1" w:name="_ftnref2"/>
      <w:bookmarkEnd w:id="1"/>
      <w:r>
        <w:rPr>
          <w:rFonts w:ascii="Inter" w:hAnsi="Inter"/>
          <w:color w:val="000000"/>
          <w:sz w:val="27"/>
          <w:szCs w:val="27"/>
        </w:rPr>
        <w:t xml:space="preserve">[2]. Poza samoświadomością odkrywa piękno Bożego światła, które prowadzi go w </w:t>
      </w:r>
      <w:r>
        <w:rPr>
          <w:rFonts w:ascii="Inter" w:hAnsi="Inter"/>
          <w:color w:val="000000"/>
          <w:sz w:val="27"/>
          <w:szCs w:val="27"/>
        </w:rPr>
        <w:lastRenderedPageBreak/>
        <w:t>ciemności. Augustyn dostrzega obecność Boga w najbardziej wewnętrznej części swojej duszy, co pociąga za sobą zrozumienie i przeżycie znaczenia troski o wnętrze jako przestrzeni relacji z Jezusem, jako drogi do doświadczenia w swoim życiu piękna i dobroci Boga.</w:t>
      </w:r>
    </w:p>
    <w:p w14:paraId="30BFE975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Relacja ta budowana jest na modlitwie i w milczeniu, a jeśli jest pielęgnowana, otwiera nas na możliwość przyjęcia i przeżywania daru powołania, które nigdy nie jest nakazem ani z góry ustalonym schematem, do którego po prostu należy się dostosować, lecz jest projektem miłości i szczęścia. Troska o wnętrze – to od niej trzeba pilnie na nowo rozpoczynać w duszpasterstwie powołań oraz we wciąż odnawianym wysiłku ewangelizacji.</w:t>
      </w:r>
    </w:p>
    <w:p w14:paraId="4D6C05C5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W tym duchu zapraszam wszystkich – rodziny, parafie, wspólnoty zakonne, biskupów, kapłanów, diakonów, katechetów i katechistów, wychowawców i wiernych świeckich – do coraz większego zaangażowania się w tworzenie sprzyjających warunków, aby ten dar mógł być przyjęty, umacniany, strzeżony objęty towarzyszeniem, by wydał obfity owoc. Tylko wtedy, gdy nasze środowiska będą jaśnieć żywą wiarą, nieustanną modlitwą i braterskim towarzyszeniem, Boże powołanie będzie mogło rozkwitnąć i dojrzeć, stając się dla każdego i dla świata drogą szczęścia i zbawienia. Wyruszając w drogę, którą wskazuje nam Jezus – Piękny Pasterz, uczmy się lepiej poznawać samych siebie i bliżej poznawać Boga, który nas powołał.</w:t>
      </w:r>
    </w:p>
    <w:p w14:paraId="44262F5B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b/>
          <w:bCs/>
          <w:i/>
          <w:iCs/>
          <w:color w:val="000000"/>
          <w:sz w:val="27"/>
          <w:szCs w:val="27"/>
        </w:rPr>
        <w:t>Wzajemne poznanie</w:t>
      </w:r>
    </w:p>
    <w:p w14:paraId="07F39944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„Pan życia zna nas i oświeca nasze serca swoim pełnym miłości spojrzeniem” </w:t>
      </w:r>
      <w:bookmarkStart w:id="2" w:name="_ftnref3"/>
      <w:bookmarkEnd w:id="2"/>
      <w:r>
        <w:rPr>
          <w:rFonts w:ascii="Inter" w:hAnsi="Inter"/>
          <w:color w:val="000000"/>
          <w:sz w:val="27"/>
          <w:szCs w:val="27"/>
        </w:rPr>
        <w:t>[3]. Każde powołanie nie może bowiem rozpocząć się inaczej jak od świadomości i doświadczenia Boga, który jest Miłością (por. </w:t>
      </w:r>
      <w:r>
        <w:rPr>
          <w:rFonts w:ascii="Inter" w:hAnsi="Inter"/>
          <w:i/>
          <w:iCs/>
          <w:color w:val="000000"/>
          <w:sz w:val="27"/>
          <w:szCs w:val="27"/>
        </w:rPr>
        <w:t>1 J</w:t>
      </w:r>
      <w:r>
        <w:rPr>
          <w:rFonts w:ascii="Inter" w:hAnsi="Inter"/>
          <w:color w:val="000000"/>
          <w:sz w:val="27"/>
          <w:szCs w:val="27"/>
        </w:rPr>
        <w:t> 4, 16): On zna nas dogłębnie, policzył włosy na naszej głowie (por. </w:t>
      </w:r>
      <w:r>
        <w:rPr>
          <w:rFonts w:ascii="Inter" w:hAnsi="Inter"/>
          <w:i/>
          <w:iCs/>
          <w:color w:val="000000"/>
          <w:sz w:val="27"/>
          <w:szCs w:val="27"/>
        </w:rPr>
        <w:t>Mt</w:t>
      </w:r>
      <w:r>
        <w:rPr>
          <w:rFonts w:ascii="Inter" w:hAnsi="Inter"/>
          <w:color w:val="000000"/>
          <w:sz w:val="27"/>
          <w:szCs w:val="27"/>
        </w:rPr>
        <w:t xml:space="preserve"> 10, 30) i dla każdego z nas zaplanował wyjątkową drogę świętości i służby. To poznanie musi jednak być zawsze wzajemne: jesteśmy zaproszeni do poznawania Boga poprzez modlitwę, słuchanie Słowa Bożego, sakramenty, życie Kościoła i dar z siebie dla braci i sióstr. Podobnie jak młody Samuel, który w nocy – być może w sposób nieoczekiwany – usłyszał głos Pana i nauczył się go rozpoznawać z pomocą </w:t>
      </w:r>
      <w:proofErr w:type="spellStart"/>
      <w:r>
        <w:rPr>
          <w:rFonts w:ascii="Inter" w:hAnsi="Inter"/>
          <w:color w:val="000000"/>
          <w:sz w:val="27"/>
          <w:szCs w:val="27"/>
        </w:rPr>
        <w:t>Helego</w:t>
      </w:r>
      <w:proofErr w:type="spellEnd"/>
      <w:r>
        <w:rPr>
          <w:rFonts w:ascii="Inter" w:hAnsi="Inter"/>
          <w:color w:val="000000"/>
          <w:sz w:val="27"/>
          <w:szCs w:val="27"/>
        </w:rPr>
        <w:t xml:space="preserve"> (por. </w:t>
      </w:r>
      <w:r>
        <w:rPr>
          <w:rFonts w:ascii="Inter" w:hAnsi="Inter"/>
          <w:i/>
          <w:iCs/>
          <w:color w:val="000000"/>
          <w:sz w:val="27"/>
          <w:szCs w:val="27"/>
        </w:rPr>
        <w:t>1 Sm</w:t>
      </w:r>
      <w:r>
        <w:rPr>
          <w:rFonts w:ascii="Inter" w:hAnsi="Inter"/>
          <w:color w:val="000000"/>
          <w:sz w:val="27"/>
          <w:szCs w:val="27"/>
        </w:rPr>
        <w:t> 3, 1-10), tak i my musimy tworzyć przestrzenie wewnętrznej ciszy, aby intuicyjnie rozpoznać, co Pan ma w swoim sercu dla naszego szczęścia. Nie chodzi tu o abstrakcyjną wiedzę intelektualną ani o uczoną erudycję, lecz o osobiste spotkanie, które przemienia życie </w:t>
      </w:r>
      <w:bookmarkStart w:id="3" w:name="_ftnref4"/>
      <w:bookmarkEnd w:id="3"/>
      <w:r>
        <w:rPr>
          <w:rFonts w:ascii="Inter" w:hAnsi="Inter"/>
          <w:color w:val="000000"/>
          <w:sz w:val="27"/>
          <w:szCs w:val="27"/>
        </w:rPr>
        <w:t>[4]. Bóg mieszka w naszym sercu: powołanie jest intymnym dialogiem z Tym, który nas powołuje – pomimo niekiedy ogłuszającego zgiełku świata – zapraszając nas do odpowiedzi z prawdziwą radością i wielkodusznością.</w:t>
      </w:r>
    </w:p>
    <w:p w14:paraId="274B8C10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„ </w:t>
      </w:r>
      <w:proofErr w:type="spellStart"/>
      <w:r>
        <w:rPr>
          <w:rFonts w:ascii="Inter" w:hAnsi="Inter"/>
          <w:i/>
          <w:iCs/>
          <w:color w:val="000000"/>
          <w:sz w:val="27"/>
          <w:szCs w:val="27"/>
        </w:rPr>
        <w:t>Noli</w:t>
      </w:r>
      <w:proofErr w:type="spellEnd"/>
      <w:r>
        <w:rPr>
          <w:rFonts w:ascii="Inter" w:hAnsi="Inter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Inter" w:hAnsi="Inter"/>
          <w:i/>
          <w:iCs/>
          <w:color w:val="000000"/>
          <w:sz w:val="27"/>
          <w:szCs w:val="27"/>
        </w:rPr>
        <w:t>foras</w:t>
      </w:r>
      <w:proofErr w:type="spellEnd"/>
      <w:r>
        <w:rPr>
          <w:rFonts w:ascii="Inter" w:hAnsi="Inter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Inter" w:hAnsi="Inter"/>
          <w:i/>
          <w:iCs/>
          <w:color w:val="000000"/>
          <w:sz w:val="27"/>
          <w:szCs w:val="27"/>
        </w:rPr>
        <w:t>ire</w:t>
      </w:r>
      <w:proofErr w:type="spellEnd"/>
      <w:r>
        <w:rPr>
          <w:rFonts w:ascii="Inter" w:hAnsi="Inter"/>
          <w:i/>
          <w:iCs/>
          <w:color w:val="000000"/>
          <w:sz w:val="27"/>
          <w:szCs w:val="27"/>
        </w:rPr>
        <w:t xml:space="preserve">, in te </w:t>
      </w:r>
      <w:proofErr w:type="spellStart"/>
      <w:r>
        <w:rPr>
          <w:rFonts w:ascii="Inter" w:hAnsi="Inter"/>
          <w:i/>
          <w:iCs/>
          <w:color w:val="000000"/>
          <w:sz w:val="27"/>
          <w:szCs w:val="27"/>
        </w:rPr>
        <w:t>ipsum</w:t>
      </w:r>
      <w:proofErr w:type="spellEnd"/>
      <w:r>
        <w:rPr>
          <w:rFonts w:ascii="Inter" w:hAnsi="Inter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Inter" w:hAnsi="Inter"/>
          <w:i/>
          <w:iCs/>
          <w:color w:val="000000"/>
          <w:sz w:val="27"/>
          <w:szCs w:val="27"/>
        </w:rPr>
        <w:t>redi</w:t>
      </w:r>
      <w:proofErr w:type="spellEnd"/>
      <w:r>
        <w:rPr>
          <w:rFonts w:ascii="Inter" w:hAnsi="Inter"/>
          <w:i/>
          <w:iCs/>
          <w:color w:val="000000"/>
          <w:sz w:val="27"/>
          <w:szCs w:val="27"/>
        </w:rPr>
        <w:t xml:space="preserve">, in </w:t>
      </w:r>
      <w:proofErr w:type="spellStart"/>
      <w:r>
        <w:rPr>
          <w:rFonts w:ascii="Inter" w:hAnsi="Inter"/>
          <w:i/>
          <w:iCs/>
          <w:color w:val="000000"/>
          <w:sz w:val="27"/>
          <w:szCs w:val="27"/>
        </w:rPr>
        <w:t>interiore</w:t>
      </w:r>
      <w:proofErr w:type="spellEnd"/>
      <w:r>
        <w:rPr>
          <w:rFonts w:ascii="Inter" w:hAnsi="Inter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Inter" w:hAnsi="Inter"/>
          <w:i/>
          <w:iCs/>
          <w:color w:val="000000"/>
          <w:sz w:val="27"/>
          <w:szCs w:val="27"/>
        </w:rPr>
        <w:t>homine</w:t>
      </w:r>
      <w:proofErr w:type="spellEnd"/>
      <w:r>
        <w:rPr>
          <w:rFonts w:ascii="Inter" w:hAnsi="Inter"/>
          <w:i/>
          <w:iCs/>
          <w:color w:val="000000"/>
          <w:sz w:val="27"/>
          <w:szCs w:val="27"/>
        </w:rPr>
        <w:t xml:space="preserve"> habitat </w:t>
      </w:r>
      <w:proofErr w:type="spellStart"/>
      <w:r>
        <w:rPr>
          <w:rFonts w:ascii="Inter" w:hAnsi="Inter"/>
          <w:i/>
          <w:iCs/>
          <w:color w:val="000000"/>
          <w:sz w:val="27"/>
          <w:szCs w:val="27"/>
        </w:rPr>
        <w:t>veritas</w:t>
      </w:r>
      <w:proofErr w:type="spellEnd"/>
      <w:r>
        <w:rPr>
          <w:rFonts w:ascii="Inter" w:hAnsi="Inter"/>
          <w:color w:val="000000"/>
          <w:sz w:val="27"/>
          <w:szCs w:val="27"/>
        </w:rPr>
        <w:t xml:space="preserve">” – „Nie wychodź na świat, wróć do siebie samego: we wnętrzu człowieku mieszka </w:t>
      </w:r>
      <w:r>
        <w:rPr>
          <w:rFonts w:ascii="Inter" w:hAnsi="Inter"/>
          <w:color w:val="000000"/>
          <w:sz w:val="27"/>
          <w:szCs w:val="27"/>
        </w:rPr>
        <w:lastRenderedPageBreak/>
        <w:t>prawda” </w:t>
      </w:r>
      <w:bookmarkStart w:id="4" w:name="_ftnref5"/>
      <w:bookmarkEnd w:id="4"/>
      <w:r>
        <w:rPr>
          <w:rFonts w:ascii="Inter" w:hAnsi="Inter"/>
          <w:color w:val="000000"/>
          <w:sz w:val="27"/>
          <w:szCs w:val="27"/>
        </w:rPr>
        <w:t>[5]. Św. Augustyn ponownie przypomina nam, jak ważne jest, by uczyć się zatrzymywać, i budować przestrzenie wewnętrznej ciszy, aby móc słuchać głosu Jezusa Chrystusa.</w:t>
      </w:r>
    </w:p>
    <w:p w14:paraId="18490ACC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Drodzy młodzi, słuchajcie tego głosu! Słuchajcie głosu Pana, który zaprasza was do życia pełnego, realizowanego poprzez pomnażanie własnych talentów (por. </w:t>
      </w:r>
      <w:r>
        <w:rPr>
          <w:rFonts w:ascii="Inter" w:hAnsi="Inter"/>
          <w:i/>
          <w:iCs/>
          <w:color w:val="000000"/>
          <w:sz w:val="27"/>
          <w:szCs w:val="27"/>
        </w:rPr>
        <w:t>Mt</w:t>
      </w:r>
      <w:r>
        <w:rPr>
          <w:rFonts w:ascii="Inter" w:hAnsi="Inter"/>
          <w:color w:val="000000"/>
          <w:sz w:val="27"/>
          <w:szCs w:val="27"/>
        </w:rPr>
        <w:t xml:space="preserve"> 25, 14-30) i </w:t>
      </w:r>
      <w:proofErr w:type="spellStart"/>
      <w:r>
        <w:rPr>
          <w:rFonts w:ascii="Inter" w:hAnsi="Inter"/>
          <w:color w:val="000000"/>
          <w:sz w:val="27"/>
          <w:szCs w:val="27"/>
        </w:rPr>
        <w:t>przybijajnie</w:t>
      </w:r>
      <w:proofErr w:type="spellEnd"/>
      <w:r>
        <w:rPr>
          <w:rFonts w:ascii="Inter" w:hAnsi="Inter"/>
          <w:color w:val="000000"/>
          <w:sz w:val="27"/>
          <w:szCs w:val="27"/>
        </w:rPr>
        <w:t xml:space="preserve"> do chwalebnego Krzyża Chrystusa swoich ograniczeń i słabości. Zatrzymajcie się więc na adoracji eucharystycznej; rozważajcie wytrwale Słowo Boże, aby żyć nim każdego dnia; uczestniczcie czynnie i w pełni w życiu sakramentalnym i eklezjalnym. W ten sposób poznacie Pana i w zażyłości właściwej przyjaźni odkryjecie, jak ofiarować siebie samego na drodze małżeństwa, kapłaństwa, diakonatu stałego lub w życiu konsekrowanym, zakonnym czy świeckim: każde powołanie jest ogromnym darem dla Kościoła i dla tych, którzy przyjmują je z radością. Poznanie Pana oznacza przede wszystkim uczenie się zaufania Jemu i Jego Opatrzności, która hojnie rozlewa się w każdym powołaniu.</w:t>
      </w:r>
    </w:p>
    <w:p w14:paraId="452FE470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b/>
          <w:bCs/>
          <w:i/>
          <w:iCs/>
          <w:color w:val="000000"/>
          <w:sz w:val="27"/>
          <w:szCs w:val="27"/>
        </w:rPr>
        <w:t>Zaufanie</w:t>
      </w:r>
    </w:p>
    <w:p w14:paraId="595B7C98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Z poznania rodzi się zaufanie – postawa zrodzona z wiary, niezbędna zarówno do przyjęcia powołania, jak i do wytrwania w nim. Życie bowiem okazuje się nieustannym zawierzeniem siebie i powierzaniem się Panu, nawet gdy Jego plany wstrząsają naszymi planami.</w:t>
      </w:r>
    </w:p>
    <w:p w14:paraId="25C7C03E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Pomyślmy o św. Józefie, który pomimo nieoczekiwanej tajemnicy macierzyństwa Dziewicy, pokłada ufność w Bożym śnie i z posłusznym sercem przyjmuje Maryję oraz Dziecię (por. </w:t>
      </w:r>
      <w:r>
        <w:rPr>
          <w:rFonts w:ascii="Inter" w:hAnsi="Inter"/>
          <w:i/>
          <w:iCs/>
          <w:color w:val="000000"/>
          <w:sz w:val="27"/>
          <w:szCs w:val="27"/>
        </w:rPr>
        <w:t>Mt</w:t>
      </w:r>
      <w:r>
        <w:rPr>
          <w:rFonts w:ascii="Inter" w:hAnsi="Inter"/>
          <w:color w:val="000000"/>
          <w:sz w:val="27"/>
          <w:szCs w:val="27"/>
        </w:rPr>
        <w:t> 1, 18-25; 2, 13-15). Józef z Nazaretu jest ikoną całkowitego zaufania planowi Boga: ufa także wtedy, gdy wszystko wokół niego wydaje się być ciemnością i czymś negatywnym, gdy sprawy zdają się zmierzać w kierunku przeciwnym do przewidywanego. Ufa i zawierza siebie, pewny dobroci i wierności Pana. „W każdych okolicznościach swojego życia Józef potrafił wypowiedzieć swoje « </w:t>
      </w:r>
      <w:r>
        <w:rPr>
          <w:rFonts w:ascii="Inter" w:hAnsi="Inter"/>
          <w:i/>
          <w:iCs/>
          <w:color w:val="000000"/>
          <w:sz w:val="27"/>
          <w:szCs w:val="27"/>
        </w:rPr>
        <w:t>fiat</w:t>
      </w:r>
      <w:r>
        <w:rPr>
          <w:rFonts w:ascii="Inter" w:hAnsi="Inter"/>
          <w:color w:val="000000"/>
          <w:sz w:val="27"/>
          <w:szCs w:val="27"/>
        </w:rPr>
        <w:t>», jak Maryja podczas Zwiastowania i Jezus w Getsemani” </w:t>
      </w:r>
      <w:bookmarkStart w:id="5" w:name="_ftnref6"/>
      <w:bookmarkEnd w:id="5"/>
      <w:r>
        <w:rPr>
          <w:rFonts w:ascii="Inter" w:hAnsi="Inter"/>
          <w:color w:val="000000"/>
          <w:sz w:val="27"/>
          <w:szCs w:val="27"/>
        </w:rPr>
        <w:t>[6].</w:t>
      </w:r>
    </w:p>
    <w:p w14:paraId="7B26C903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Jak nauczył nas </w:t>
      </w:r>
      <w:r>
        <w:rPr>
          <w:rFonts w:ascii="Inter" w:hAnsi="Inter"/>
          <w:i/>
          <w:iCs/>
          <w:color w:val="000000"/>
          <w:sz w:val="27"/>
          <w:szCs w:val="27"/>
        </w:rPr>
        <w:t>Jubileusz Nadziei</w:t>
      </w:r>
      <w:r>
        <w:rPr>
          <w:rFonts w:ascii="Inter" w:hAnsi="Inter"/>
          <w:color w:val="000000"/>
          <w:sz w:val="27"/>
          <w:szCs w:val="27"/>
        </w:rPr>
        <w:t>, należy pielęgnować niezachwianą i trwałą ufność w obietnice Boga, nigdy nie ulegając rozpaczy, przezwyciężając lęki i niepewności, będąc pewnymi, że Zmartwychwstały jest Panem dziejów świata i naszej osobistej historii: On nie opuszcza nas w najciemniejszych godzinach, ale przychodzi, aby swoim światłem rozproszyć wszystkie nasze mroki. I właśnie dzięki światłu i mocy Jego Ducha – także poprzez próby i kryzysy – możemy widzieć, jak nasze powołanie dojrzewa, coraz bardziej odzwierciedlając piękno Tego, który nas powołał – piękno składające się z wierności i zaufania, pomimo ran i upadków.</w:t>
      </w:r>
    </w:p>
    <w:p w14:paraId="19FA64AA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b/>
          <w:bCs/>
          <w:i/>
          <w:iCs/>
          <w:color w:val="000000"/>
          <w:sz w:val="27"/>
          <w:szCs w:val="27"/>
        </w:rPr>
        <w:lastRenderedPageBreak/>
        <w:t>Dojrzewanie</w:t>
      </w:r>
    </w:p>
    <w:p w14:paraId="35F488E1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Powołanie nie jest w istocie statycznym celem, lecz dynamicznym procesem dojrzewania, wspieranym przez intymność z Panem: przebywanie z Jezusem, pozwalanie Duchowi Świętemu, by działał w sercach i w sytuacjach życiowych oraz ponowne odczytywanie wszystkiego w świetle otrzymanego daru – to oznacza wzrost w powołaniu.</w:t>
      </w:r>
    </w:p>
    <w:p w14:paraId="0133DF48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Podobnie jak krzew winny i latorośle (por. </w:t>
      </w:r>
      <w:r>
        <w:rPr>
          <w:rFonts w:ascii="Inter" w:hAnsi="Inter"/>
          <w:i/>
          <w:iCs/>
          <w:color w:val="000000"/>
          <w:sz w:val="27"/>
          <w:szCs w:val="27"/>
        </w:rPr>
        <w:t>J</w:t>
      </w:r>
      <w:r>
        <w:rPr>
          <w:rFonts w:ascii="Inter" w:hAnsi="Inter"/>
          <w:color w:val="000000"/>
          <w:sz w:val="27"/>
          <w:szCs w:val="27"/>
        </w:rPr>
        <w:t> 15, 1-8), tak całe nasze istnienie musi opierać się na mocnej i koniecznej więzi z Panem, tak aby stawało się coraz pełniejszą odpowiedzią na Jego wezwanie – poprzez próby i konieczne „przycinania”. „Miejscami”, w których najbardziej objawia się wola Boża i doświadcza się Jego nieskończonej miłości, są często autentyczne i braterskie więzi, jakie jesteśmy w stanie nawiązać w ciągu naszego życia. Jakże cenne jest posiadanie dobrego przewodnika duchowego, który towarzyszy nam w odkrywaniu i rozwijaniu naszego powołania! Jakże ważne są rozeznanie i weryfikacja w świetle Ducha Świętego, aby powołanie mogło się realizować w całym swoim pięknie.</w:t>
      </w:r>
    </w:p>
    <w:p w14:paraId="3E0981D5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Powołanie nie jest zatem czymś, co nabywa się natychmiast, czymś „danym” raz na zawsze: jest raczej drogą, która rozwija się analogicznie do życia ludzkiego, w którym otrzymany dar – oprócz tego, że należy go strzec – musi być karmiony codzienną relacją z Bogiem, aby mógł wzrastać i wydawać owoc. „Ma ono wielką wartość, ponieważ stawia całe nasze życie przed tym Bogiem, który nas kocha, i pozwala nam zrozumieć, że nic nie jest owocem bezsensownego chaosu, ale przeciwnie, wszystko może być włączone w proces odpowiedzi Panu, który ma dla nas wspaniały plan” </w:t>
      </w:r>
      <w:bookmarkStart w:id="6" w:name="_ftnref7"/>
      <w:bookmarkEnd w:id="6"/>
      <w:r>
        <w:rPr>
          <w:rFonts w:ascii="Inter" w:hAnsi="Inter"/>
          <w:color w:val="000000"/>
          <w:sz w:val="27"/>
          <w:szCs w:val="27"/>
        </w:rPr>
        <w:t>[7].</w:t>
      </w:r>
    </w:p>
    <w:p w14:paraId="0DC69675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Drodzy bracia i siostry, najdrożsi młodzi, zachęcam was do pielęgnowania osobistej relacji z Bogiem poprzez codzienną modlitwę i medytację Słowa Bożego. Zatrzymujcie się, słuchajcie, zawierzajcie siebie: w ten sposób dar waszego powołania dojrzeje, uczyni was szczęśliwymi i przyniesie obfite owoce Kościołowi i światu.</w:t>
      </w:r>
    </w:p>
    <w:p w14:paraId="1686CFC9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Niech Najświętsza Maryja Panna, wzór wewnętrznego przyjęcia Bożego daru i mistrzyni modlitewnego słuchania, zawsze towarzyszy wam w tej wędrówce!</w:t>
      </w:r>
    </w:p>
    <w:p w14:paraId="4CDE1E39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i/>
          <w:iCs/>
          <w:color w:val="000000"/>
          <w:sz w:val="27"/>
          <w:szCs w:val="27"/>
        </w:rPr>
        <w:t>Z Watykanu, dnia 16 marca 2026 r.</w:t>
      </w:r>
    </w:p>
    <w:p w14:paraId="003A4023" w14:textId="77777777" w:rsidR="009D43D3" w:rsidRDefault="009D43D3" w:rsidP="009D43D3">
      <w:pPr>
        <w:pStyle w:val="NormalnyWeb"/>
        <w:shd w:val="clear" w:color="auto" w:fill="FFFFFF"/>
        <w:spacing w:before="0" w:beforeAutospacing="0"/>
        <w:jc w:val="center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LEON PP. XIV</w:t>
      </w:r>
    </w:p>
    <w:p w14:paraId="55BB2082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 </w:t>
      </w:r>
    </w:p>
    <w:p w14:paraId="06DAF200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t> </w:t>
      </w:r>
    </w:p>
    <w:p w14:paraId="1882928A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r>
        <w:rPr>
          <w:rFonts w:ascii="Inter" w:hAnsi="Inter"/>
          <w:color w:val="000000"/>
          <w:sz w:val="27"/>
          <w:szCs w:val="27"/>
        </w:rPr>
        <w:lastRenderedPageBreak/>
        <w:t>_________________________________________________-</w:t>
      </w:r>
    </w:p>
    <w:p w14:paraId="643C75DF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bookmarkStart w:id="7" w:name="_ftn1"/>
      <w:bookmarkEnd w:id="7"/>
      <w:r>
        <w:rPr>
          <w:rFonts w:ascii="Inter" w:hAnsi="Inter"/>
          <w:color w:val="000000"/>
          <w:sz w:val="27"/>
          <w:szCs w:val="27"/>
        </w:rPr>
        <w:t>[1] „I, w istocie, ascetyzm nie tworzy człowieka «dobrego», lecz </w:t>
      </w:r>
      <w:r>
        <w:rPr>
          <w:rFonts w:ascii="Inter" w:hAnsi="Inter"/>
          <w:i/>
          <w:iCs/>
          <w:color w:val="000000"/>
          <w:sz w:val="27"/>
          <w:szCs w:val="27"/>
        </w:rPr>
        <w:t>pięknego</w:t>
      </w:r>
      <w:r>
        <w:rPr>
          <w:rFonts w:ascii="Inter" w:hAnsi="Inter"/>
          <w:color w:val="000000"/>
          <w:sz w:val="27"/>
          <w:szCs w:val="27"/>
        </w:rPr>
        <w:t>, a wyróżniającą cechą świętych ascetów nie jest bynajmniej ich «dobro», które spotkać można także u ludzi zmysłowych, a nawet całkowicie grzesznych, lecz </w:t>
      </w:r>
      <w:r>
        <w:rPr>
          <w:rFonts w:ascii="Inter" w:hAnsi="Inter"/>
          <w:i/>
          <w:iCs/>
          <w:color w:val="000000"/>
          <w:sz w:val="27"/>
          <w:szCs w:val="27"/>
        </w:rPr>
        <w:t>piękno</w:t>
      </w:r>
      <w:r>
        <w:rPr>
          <w:rFonts w:ascii="Inter" w:hAnsi="Inter"/>
          <w:color w:val="000000"/>
          <w:sz w:val="27"/>
          <w:szCs w:val="27"/>
        </w:rPr>
        <w:t xml:space="preserve"> duchowe, oślepiające piękno promienistej, światłonośnej osoby, które w żadnym razie nie jest dostępne człowiekowi cielesnemu i zmysłowemu” (Paweł </w:t>
      </w:r>
      <w:proofErr w:type="spellStart"/>
      <w:r>
        <w:rPr>
          <w:rFonts w:ascii="Inter" w:hAnsi="Inter"/>
          <w:color w:val="000000"/>
          <w:sz w:val="27"/>
          <w:szCs w:val="27"/>
        </w:rPr>
        <w:t>Florenski</w:t>
      </w:r>
      <w:proofErr w:type="spellEnd"/>
      <w:r>
        <w:rPr>
          <w:rFonts w:ascii="Inter" w:hAnsi="Inter"/>
          <w:color w:val="000000"/>
          <w:sz w:val="27"/>
          <w:szCs w:val="27"/>
        </w:rPr>
        <w:t>, </w:t>
      </w:r>
      <w:r>
        <w:rPr>
          <w:rFonts w:ascii="Inter" w:hAnsi="Inter"/>
          <w:i/>
          <w:iCs/>
          <w:color w:val="000000"/>
          <w:sz w:val="27"/>
          <w:szCs w:val="27"/>
        </w:rPr>
        <w:t>Filar i podpora prawdy. Próba teodycei prawosławnej w dwunastu listach</w:t>
      </w:r>
      <w:r>
        <w:rPr>
          <w:rFonts w:ascii="Inter" w:hAnsi="Inter"/>
          <w:color w:val="000000"/>
          <w:sz w:val="27"/>
          <w:szCs w:val="27"/>
        </w:rPr>
        <w:t>, tłum. Jacek Chmielewski, Warszawa 2009, s. 82.</w:t>
      </w:r>
    </w:p>
    <w:p w14:paraId="7E82DF9F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bookmarkStart w:id="8" w:name="_ftn2"/>
      <w:bookmarkEnd w:id="8"/>
      <w:r>
        <w:rPr>
          <w:rFonts w:ascii="Inter" w:hAnsi="Inter"/>
          <w:color w:val="000000"/>
          <w:sz w:val="27"/>
          <w:szCs w:val="27"/>
        </w:rPr>
        <w:t>[2] Św. Augustyn, </w:t>
      </w:r>
      <w:proofErr w:type="spellStart"/>
      <w:r>
        <w:rPr>
          <w:rFonts w:ascii="Inter" w:hAnsi="Inter"/>
          <w:i/>
          <w:iCs/>
          <w:color w:val="000000"/>
          <w:sz w:val="27"/>
          <w:szCs w:val="27"/>
        </w:rPr>
        <w:t>Conf</w:t>
      </w:r>
      <w:proofErr w:type="spellEnd"/>
      <w:r>
        <w:rPr>
          <w:rFonts w:ascii="Inter" w:hAnsi="Inter"/>
          <w:i/>
          <w:iCs/>
          <w:color w:val="000000"/>
          <w:sz w:val="27"/>
          <w:szCs w:val="27"/>
        </w:rPr>
        <w:t>.</w:t>
      </w:r>
      <w:r>
        <w:rPr>
          <w:rFonts w:ascii="Inter" w:hAnsi="Inter"/>
          <w:color w:val="000000"/>
          <w:sz w:val="27"/>
          <w:szCs w:val="27"/>
        </w:rPr>
        <w:t>, III, 6, 11: </w:t>
      </w:r>
      <w:r>
        <w:rPr>
          <w:rFonts w:ascii="Inter" w:hAnsi="Inter"/>
          <w:i/>
          <w:iCs/>
          <w:color w:val="000000"/>
          <w:sz w:val="27"/>
          <w:szCs w:val="27"/>
        </w:rPr>
        <w:t>CSEL </w:t>
      </w:r>
      <w:r>
        <w:rPr>
          <w:rFonts w:ascii="Inter" w:hAnsi="Inter"/>
          <w:color w:val="000000"/>
          <w:sz w:val="27"/>
          <w:szCs w:val="27"/>
        </w:rPr>
        <w:t>33, 53: </w:t>
      </w:r>
      <w:r>
        <w:rPr>
          <w:rFonts w:ascii="Inter" w:hAnsi="Inter"/>
          <w:i/>
          <w:iCs/>
          <w:color w:val="000000"/>
          <w:sz w:val="27"/>
          <w:szCs w:val="27"/>
        </w:rPr>
        <w:t>Wyznania</w:t>
      </w:r>
      <w:r>
        <w:rPr>
          <w:rFonts w:ascii="Inter" w:hAnsi="Inter"/>
          <w:color w:val="000000"/>
          <w:sz w:val="27"/>
          <w:szCs w:val="27"/>
        </w:rPr>
        <w:t>, tłum. Zygmunt Kubiak, Kraków 2007, s. 78.</w:t>
      </w:r>
    </w:p>
    <w:p w14:paraId="7DC9E160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bookmarkStart w:id="9" w:name="_ftn3"/>
      <w:bookmarkEnd w:id="9"/>
      <w:r>
        <w:rPr>
          <w:rFonts w:ascii="Inter" w:hAnsi="Inter"/>
          <w:color w:val="000000"/>
          <w:sz w:val="27"/>
          <w:szCs w:val="27"/>
        </w:rPr>
        <w:t xml:space="preserve">[3] List </w:t>
      </w:r>
      <w:proofErr w:type="spellStart"/>
      <w:r>
        <w:rPr>
          <w:rFonts w:ascii="Inter" w:hAnsi="Inter"/>
          <w:color w:val="000000"/>
          <w:sz w:val="27"/>
          <w:szCs w:val="27"/>
        </w:rPr>
        <w:t>apost</w:t>
      </w:r>
      <w:proofErr w:type="spellEnd"/>
      <w:r>
        <w:rPr>
          <w:rFonts w:ascii="Inter" w:hAnsi="Inter"/>
          <w:color w:val="000000"/>
          <w:sz w:val="27"/>
          <w:szCs w:val="27"/>
        </w:rPr>
        <w:t>. </w:t>
      </w:r>
      <w:hyperlink r:id="rId5" w:history="1">
        <w:r>
          <w:rPr>
            <w:rStyle w:val="Hipercze"/>
            <w:rFonts w:ascii="Inter" w:eastAsiaTheme="majorEastAsia" w:hAnsi="Inter"/>
            <w:i/>
            <w:iCs/>
            <w:color w:val="765E32"/>
            <w:sz w:val="27"/>
            <w:szCs w:val="27"/>
          </w:rPr>
          <w:t xml:space="preserve">Wierność, która rodzi </w:t>
        </w:r>
        <w:proofErr w:type="spellStart"/>
        <w:r>
          <w:rPr>
            <w:rStyle w:val="Hipercze"/>
            <w:rFonts w:ascii="Inter" w:eastAsiaTheme="majorEastAsia" w:hAnsi="Inter"/>
            <w:i/>
            <w:iCs/>
            <w:color w:val="765E32"/>
            <w:sz w:val="27"/>
            <w:szCs w:val="27"/>
          </w:rPr>
          <w:t>przyszłośc</w:t>
        </w:r>
        <w:proofErr w:type="spellEnd"/>
      </w:hyperlink>
      <w:r>
        <w:rPr>
          <w:rFonts w:ascii="Inter" w:hAnsi="Inter"/>
          <w:i/>
          <w:iCs/>
          <w:color w:val="000000"/>
          <w:sz w:val="27"/>
          <w:szCs w:val="27"/>
        </w:rPr>
        <w:t> </w:t>
      </w:r>
      <w:r>
        <w:rPr>
          <w:rFonts w:ascii="Inter" w:hAnsi="Inter"/>
          <w:color w:val="000000"/>
          <w:sz w:val="27"/>
          <w:szCs w:val="27"/>
        </w:rPr>
        <w:t>(8 grudnia 2025), 5.</w:t>
      </w:r>
    </w:p>
    <w:p w14:paraId="44D82193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bookmarkStart w:id="10" w:name="_ftn4"/>
      <w:bookmarkEnd w:id="10"/>
      <w:r>
        <w:rPr>
          <w:rFonts w:ascii="Inter" w:hAnsi="Inter"/>
          <w:color w:val="000000"/>
          <w:sz w:val="27"/>
          <w:szCs w:val="27"/>
        </w:rPr>
        <w:t xml:space="preserve">[4] Por. Benedykt XVI, </w:t>
      </w:r>
      <w:proofErr w:type="spellStart"/>
      <w:r>
        <w:rPr>
          <w:rFonts w:ascii="Inter" w:hAnsi="Inter"/>
          <w:color w:val="000000"/>
          <w:sz w:val="27"/>
          <w:szCs w:val="27"/>
        </w:rPr>
        <w:t>Enc</w:t>
      </w:r>
      <w:proofErr w:type="spellEnd"/>
      <w:r>
        <w:rPr>
          <w:rFonts w:ascii="Inter" w:hAnsi="Inter"/>
          <w:color w:val="000000"/>
          <w:sz w:val="27"/>
          <w:szCs w:val="27"/>
        </w:rPr>
        <w:t>. </w:t>
      </w:r>
      <w:hyperlink r:id="rId6" w:history="1">
        <w:r>
          <w:rPr>
            <w:rStyle w:val="Hipercze"/>
            <w:rFonts w:ascii="Inter" w:eastAsiaTheme="majorEastAsia" w:hAnsi="Inter"/>
            <w:i/>
            <w:iCs/>
            <w:color w:val="765E32"/>
            <w:sz w:val="27"/>
            <w:szCs w:val="27"/>
          </w:rPr>
          <w:t xml:space="preserve">Deus caritas </w:t>
        </w:r>
        <w:proofErr w:type="spellStart"/>
        <w:r>
          <w:rPr>
            <w:rStyle w:val="Hipercze"/>
            <w:rFonts w:ascii="Inter" w:eastAsiaTheme="majorEastAsia" w:hAnsi="Inter"/>
            <w:i/>
            <w:iCs/>
            <w:color w:val="765E32"/>
            <w:sz w:val="27"/>
            <w:szCs w:val="27"/>
          </w:rPr>
          <w:t>est</w:t>
        </w:r>
        <w:proofErr w:type="spellEnd"/>
        <w:r>
          <w:rPr>
            <w:rStyle w:val="Hipercze"/>
            <w:rFonts w:ascii="Inter" w:eastAsiaTheme="majorEastAsia" w:hAnsi="Inter"/>
            <w:i/>
            <w:iCs/>
            <w:color w:val="765E32"/>
            <w:sz w:val="27"/>
            <w:szCs w:val="27"/>
          </w:rPr>
          <w:t> </w:t>
        </w:r>
      </w:hyperlink>
      <w:r>
        <w:rPr>
          <w:rFonts w:ascii="Inter" w:hAnsi="Inter"/>
          <w:i/>
          <w:iCs/>
          <w:color w:val="000000"/>
          <w:sz w:val="27"/>
          <w:szCs w:val="27"/>
        </w:rPr>
        <w:t> </w:t>
      </w:r>
      <w:r>
        <w:rPr>
          <w:rFonts w:ascii="Inter" w:hAnsi="Inter"/>
          <w:color w:val="000000"/>
          <w:sz w:val="27"/>
          <w:szCs w:val="27"/>
        </w:rPr>
        <w:t>(25 grudnia 2025), 1.</w:t>
      </w:r>
    </w:p>
    <w:p w14:paraId="328CEE6D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bookmarkStart w:id="11" w:name="_ftn5"/>
      <w:bookmarkEnd w:id="11"/>
      <w:r>
        <w:rPr>
          <w:rFonts w:ascii="Inter" w:hAnsi="Inter"/>
          <w:color w:val="000000"/>
          <w:sz w:val="27"/>
          <w:szCs w:val="27"/>
        </w:rPr>
        <w:t>[5] Św. Augustyn, </w:t>
      </w:r>
      <w:r>
        <w:rPr>
          <w:rFonts w:ascii="Inter" w:hAnsi="Inter"/>
          <w:i/>
          <w:iCs/>
          <w:color w:val="000000"/>
          <w:sz w:val="27"/>
          <w:szCs w:val="27"/>
        </w:rPr>
        <w:t xml:space="preserve">De </w:t>
      </w:r>
      <w:proofErr w:type="spellStart"/>
      <w:r>
        <w:rPr>
          <w:rFonts w:ascii="Inter" w:hAnsi="Inter"/>
          <w:i/>
          <w:iCs/>
          <w:color w:val="000000"/>
          <w:sz w:val="27"/>
          <w:szCs w:val="27"/>
        </w:rPr>
        <w:t>vera</w:t>
      </w:r>
      <w:proofErr w:type="spellEnd"/>
      <w:r>
        <w:rPr>
          <w:rFonts w:ascii="Inter" w:hAnsi="Inter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Inter" w:hAnsi="Inter"/>
          <w:i/>
          <w:iCs/>
          <w:color w:val="000000"/>
          <w:sz w:val="27"/>
          <w:szCs w:val="27"/>
        </w:rPr>
        <w:t>religione</w:t>
      </w:r>
      <w:proofErr w:type="spellEnd"/>
      <w:r>
        <w:rPr>
          <w:rFonts w:ascii="Inter" w:hAnsi="Inter"/>
          <w:color w:val="000000"/>
          <w:sz w:val="27"/>
          <w:szCs w:val="27"/>
        </w:rPr>
        <w:t>, XXXIX, 72: </w:t>
      </w:r>
      <w:r>
        <w:rPr>
          <w:rFonts w:ascii="Inter" w:hAnsi="Inter"/>
          <w:i/>
          <w:iCs/>
          <w:color w:val="000000"/>
          <w:sz w:val="27"/>
          <w:szCs w:val="27"/>
        </w:rPr>
        <w:t>CCSL</w:t>
      </w:r>
      <w:r>
        <w:rPr>
          <w:rFonts w:ascii="Inter" w:hAnsi="Inter"/>
          <w:color w:val="000000"/>
          <w:sz w:val="27"/>
          <w:szCs w:val="27"/>
        </w:rPr>
        <w:t xml:space="preserve"> 32, 234: Augustyn z </w:t>
      </w:r>
      <w:proofErr w:type="spellStart"/>
      <w:r>
        <w:rPr>
          <w:rFonts w:ascii="Inter" w:hAnsi="Inter"/>
          <w:color w:val="000000"/>
          <w:sz w:val="27"/>
          <w:szCs w:val="27"/>
        </w:rPr>
        <w:t>Hippony</w:t>
      </w:r>
      <w:proofErr w:type="spellEnd"/>
      <w:r>
        <w:rPr>
          <w:rFonts w:ascii="Inter" w:hAnsi="Inter"/>
          <w:color w:val="000000"/>
          <w:sz w:val="27"/>
          <w:szCs w:val="27"/>
        </w:rPr>
        <w:t>, </w:t>
      </w:r>
      <w:r>
        <w:rPr>
          <w:rFonts w:ascii="Inter" w:hAnsi="Inter"/>
          <w:i/>
          <w:iCs/>
          <w:color w:val="000000"/>
          <w:sz w:val="27"/>
          <w:szCs w:val="27"/>
        </w:rPr>
        <w:t>O wierze prawdziwej</w:t>
      </w:r>
      <w:r>
        <w:rPr>
          <w:rFonts w:ascii="Inter" w:hAnsi="Inter"/>
          <w:color w:val="000000"/>
          <w:sz w:val="27"/>
          <w:szCs w:val="27"/>
        </w:rPr>
        <w:t>, w: Tenże, </w:t>
      </w:r>
      <w:r>
        <w:rPr>
          <w:rFonts w:ascii="Inter" w:hAnsi="Inter"/>
          <w:i/>
          <w:iCs/>
          <w:color w:val="000000"/>
          <w:sz w:val="27"/>
          <w:szCs w:val="27"/>
        </w:rPr>
        <w:t>Pisma filozoficzne</w:t>
      </w:r>
      <w:r>
        <w:rPr>
          <w:rFonts w:ascii="Inter" w:hAnsi="Inter"/>
          <w:color w:val="000000"/>
          <w:sz w:val="27"/>
          <w:szCs w:val="27"/>
        </w:rPr>
        <w:t>, t. 4, tłum. Jerzy Ptaszyński, Warszawa 1954, s. 131.</w:t>
      </w:r>
    </w:p>
    <w:p w14:paraId="63A3A642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bookmarkStart w:id="12" w:name="_ftn6"/>
      <w:bookmarkEnd w:id="12"/>
      <w:r>
        <w:rPr>
          <w:rFonts w:ascii="Inter" w:hAnsi="Inter"/>
          <w:color w:val="000000"/>
          <w:sz w:val="27"/>
          <w:szCs w:val="27"/>
        </w:rPr>
        <w:t xml:space="preserve">[6] Franciszek, List </w:t>
      </w:r>
      <w:proofErr w:type="spellStart"/>
      <w:r>
        <w:rPr>
          <w:rFonts w:ascii="Inter" w:hAnsi="Inter"/>
          <w:color w:val="000000"/>
          <w:sz w:val="27"/>
          <w:szCs w:val="27"/>
        </w:rPr>
        <w:t>apost</w:t>
      </w:r>
      <w:proofErr w:type="spellEnd"/>
      <w:r>
        <w:rPr>
          <w:rFonts w:ascii="Inter" w:hAnsi="Inter"/>
          <w:color w:val="000000"/>
          <w:sz w:val="27"/>
          <w:szCs w:val="27"/>
        </w:rPr>
        <w:t>. </w:t>
      </w:r>
      <w:proofErr w:type="spellStart"/>
      <w:r>
        <w:rPr>
          <w:rFonts w:ascii="Inter" w:hAnsi="Inter"/>
          <w:i/>
          <w:iCs/>
          <w:color w:val="000000"/>
          <w:sz w:val="27"/>
          <w:szCs w:val="27"/>
        </w:rPr>
        <w:t>Patris</w:t>
      </w:r>
      <w:proofErr w:type="spellEnd"/>
      <w:r>
        <w:rPr>
          <w:rFonts w:ascii="Inter" w:hAnsi="Inter"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Inter" w:hAnsi="Inter"/>
          <w:i/>
          <w:iCs/>
          <w:color w:val="000000"/>
          <w:sz w:val="27"/>
          <w:szCs w:val="27"/>
        </w:rPr>
        <w:t>corde</w:t>
      </w:r>
      <w:proofErr w:type="spellEnd"/>
      <w:r>
        <w:rPr>
          <w:rFonts w:ascii="Inter" w:hAnsi="Inter"/>
          <w:i/>
          <w:iCs/>
          <w:color w:val="000000"/>
          <w:sz w:val="27"/>
          <w:szCs w:val="27"/>
        </w:rPr>
        <w:t> </w:t>
      </w:r>
      <w:r>
        <w:rPr>
          <w:rFonts w:ascii="Inter" w:hAnsi="Inter"/>
          <w:color w:val="000000"/>
          <w:sz w:val="27"/>
          <w:szCs w:val="27"/>
        </w:rPr>
        <w:t>(8 grudnia 2020), 3.</w:t>
      </w:r>
    </w:p>
    <w:p w14:paraId="182E29F1" w14:textId="77777777" w:rsidR="009D43D3" w:rsidRDefault="009D43D3" w:rsidP="009D43D3">
      <w:pPr>
        <w:pStyle w:val="NormalnyWeb"/>
        <w:shd w:val="clear" w:color="auto" w:fill="FFFFFF"/>
        <w:spacing w:before="0" w:beforeAutospacing="0"/>
        <w:rPr>
          <w:rFonts w:ascii="Inter" w:hAnsi="Inter"/>
          <w:color w:val="000000"/>
          <w:sz w:val="27"/>
          <w:szCs w:val="27"/>
        </w:rPr>
      </w:pPr>
      <w:bookmarkStart w:id="13" w:name="_ftn7"/>
      <w:bookmarkEnd w:id="13"/>
      <w:r>
        <w:rPr>
          <w:rFonts w:ascii="Inter" w:hAnsi="Inter"/>
          <w:color w:val="000000"/>
          <w:sz w:val="27"/>
          <w:szCs w:val="27"/>
        </w:rPr>
        <w:t xml:space="preserve">[7] Franciszek, </w:t>
      </w:r>
      <w:proofErr w:type="spellStart"/>
      <w:r>
        <w:rPr>
          <w:rFonts w:ascii="Inter" w:hAnsi="Inter"/>
          <w:color w:val="000000"/>
          <w:sz w:val="27"/>
          <w:szCs w:val="27"/>
        </w:rPr>
        <w:t>Posynod</w:t>
      </w:r>
      <w:proofErr w:type="spellEnd"/>
      <w:r>
        <w:rPr>
          <w:rFonts w:ascii="Inter" w:hAnsi="Inter"/>
          <w:color w:val="000000"/>
          <w:sz w:val="27"/>
          <w:szCs w:val="27"/>
        </w:rPr>
        <w:t xml:space="preserve">. </w:t>
      </w:r>
      <w:proofErr w:type="spellStart"/>
      <w:r>
        <w:rPr>
          <w:rFonts w:ascii="Inter" w:hAnsi="Inter"/>
          <w:color w:val="000000"/>
          <w:sz w:val="27"/>
          <w:szCs w:val="27"/>
        </w:rPr>
        <w:t>Adhort</w:t>
      </w:r>
      <w:proofErr w:type="spellEnd"/>
      <w:r>
        <w:rPr>
          <w:rFonts w:ascii="Inter" w:hAnsi="Inter"/>
          <w:color w:val="000000"/>
          <w:sz w:val="27"/>
          <w:szCs w:val="27"/>
        </w:rPr>
        <w:t xml:space="preserve">. </w:t>
      </w:r>
      <w:proofErr w:type="spellStart"/>
      <w:r>
        <w:rPr>
          <w:rFonts w:ascii="Inter" w:hAnsi="Inter"/>
          <w:color w:val="000000"/>
          <w:sz w:val="27"/>
          <w:szCs w:val="27"/>
        </w:rPr>
        <w:t>apost</w:t>
      </w:r>
      <w:proofErr w:type="spellEnd"/>
      <w:r>
        <w:rPr>
          <w:rFonts w:ascii="Inter" w:hAnsi="Inter"/>
          <w:color w:val="000000"/>
          <w:sz w:val="27"/>
          <w:szCs w:val="27"/>
        </w:rPr>
        <w:t>. </w:t>
      </w:r>
      <w:proofErr w:type="spellStart"/>
      <w:r>
        <w:rPr>
          <w:rFonts w:ascii="Inter" w:hAnsi="Inter"/>
          <w:i/>
          <w:iCs/>
          <w:color w:val="000000"/>
          <w:sz w:val="27"/>
          <w:szCs w:val="27"/>
        </w:rPr>
        <w:fldChar w:fldCharType="begin"/>
      </w:r>
      <w:r>
        <w:rPr>
          <w:rFonts w:ascii="Inter" w:hAnsi="Inter"/>
          <w:i/>
          <w:iCs/>
          <w:color w:val="000000"/>
          <w:sz w:val="27"/>
          <w:szCs w:val="27"/>
        </w:rPr>
        <w:instrText>HYPERLINK "https://www.vatican.va/content/francesco/pl/apost_exhortations/documents/papa-francesco_esortazione-ap_20190325_christus-vivit.html"</w:instrText>
      </w:r>
      <w:r>
        <w:rPr>
          <w:rFonts w:ascii="Inter" w:hAnsi="Inter"/>
          <w:i/>
          <w:iCs/>
          <w:color w:val="000000"/>
          <w:sz w:val="27"/>
          <w:szCs w:val="27"/>
        </w:rPr>
      </w:r>
      <w:r>
        <w:rPr>
          <w:rFonts w:ascii="Inter" w:hAnsi="Inter"/>
          <w:i/>
          <w:iCs/>
          <w:color w:val="000000"/>
          <w:sz w:val="27"/>
          <w:szCs w:val="27"/>
        </w:rPr>
        <w:fldChar w:fldCharType="separate"/>
      </w:r>
      <w:r>
        <w:rPr>
          <w:rStyle w:val="Hipercze"/>
          <w:rFonts w:ascii="Inter" w:eastAsiaTheme="majorEastAsia" w:hAnsi="Inter"/>
          <w:i/>
          <w:iCs/>
          <w:color w:val="765E32"/>
          <w:sz w:val="27"/>
          <w:szCs w:val="27"/>
        </w:rPr>
        <w:t>Christus</w:t>
      </w:r>
      <w:proofErr w:type="spellEnd"/>
      <w:r>
        <w:rPr>
          <w:rStyle w:val="Hipercze"/>
          <w:rFonts w:ascii="Inter" w:eastAsiaTheme="majorEastAsia" w:hAnsi="Inter"/>
          <w:i/>
          <w:iCs/>
          <w:color w:val="765E32"/>
          <w:sz w:val="27"/>
          <w:szCs w:val="27"/>
        </w:rPr>
        <w:t xml:space="preserve"> </w:t>
      </w:r>
      <w:proofErr w:type="spellStart"/>
      <w:r>
        <w:rPr>
          <w:rStyle w:val="Hipercze"/>
          <w:rFonts w:ascii="Inter" w:eastAsiaTheme="majorEastAsia" w:hAnsi="Inter"/>
          <w:i/>
          <w:iCs/>
          <w:color w:val="765E32"/>
          <w:sz w:val="27"/>
          <w:szCs w:val="27"/>
        </w:rPr>
        <w:t>vivit</w:t>
      </w:r>
      <w:proofErr w:type="spellEnd"/>
      <w:r>
        <w:rPr>
          <w:rFonts w:ascii="Inter" w:hAnsi="Inter"/>
          <w:i/>
          <w:iCs/>
          <w:color w:val="000000"/>
          <w:sz w:val="27"/>
          <w:szCs w:val="27"/>
        </w:rPr>
        <w:fldChar w:fldCharType="end"/>
      </w:r>
      <w:r>
        <w:rPr>
          <w:rFonts w:ascii="Inter" w:hAnsi="Inter"/>
          <w:i/>
          <w:iCs/>
          <w:color w:val="000000"/>
          <w:sz w:val="27"/>
          <w:szCs w:val="27"/>
        </w:rPr>
        <w:t> </w:t>
      </w:r>
      <w:r>
        <w:rPr>
          <w:rFonts w:ascii="Inter" w:hAnsi="Inter"/>
          <w:color w:val="000000"/>
          <w:sz w:val="27"/>
          <w:szCs w:val="27"/>
        </w:rPr>
        <w:t>(25 marca 2019), 248.</w:t>
      </w:r>
    </w:p>
    <w:p w14:paraId="558B6D8C" w14:textId="77777777" w:rsidR="00117487" w:rsidRDefault="00117487"/>
    <w:sectPr w:rsidR="00117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36"/>
    <w:rsid w:val="00117487"/>
    <w:rsid w:val="0035092B"/>
    <w:rsid w:val="009D43D3"/>
    <w:rsid w:val="00AB75B6"/>
    <w:rsid w:val="00F5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DC60C-85FB-49F1-B75B-99DEFCF4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6B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6B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6B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6B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6B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6B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6B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6B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6B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6B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6B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6B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6B3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6B3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6B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6B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6B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6B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6B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6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6B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6B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6B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6B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6B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6B3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6B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6B3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6B36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9D4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itle-1-color">
    <w:name w:val="title-1-color"/>
    <w:basedOn w:val="Domylnaczcionkaakapitu"/>
    <w:rsid w:val="009D43D3"/>
  </w:style>
  <w:style w:type="character" w:customStyle="1" w:styleId="color-text">
    <w:name w:val="color-text"/>
    <w:basedOn w:val="Domylnaczcionkaakapitu"/>
    <w:rsid w:val="009D43D3"/>
  </w:style>
  <w:style w:type="character" w:styleId="Hipercze">
    <w:name w:val="Hyperlink"/>
    <w:basedOn w:val="Domylnaczcionkaakapitu"/>
    <w:uiPriority w:val="99"/>
    <w:semiHidden/>
    <w:unhideWhenUsed/>
    <w:rsid w:val="009D43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22870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atican.va/content/benedict-xvi/pl/encyclicals/documents/hf_ben-xvi_enc_20051225_deus-caritas-est.html" TargetMode="External"/><Relationship Id="rId5" Type="http://schemas.openxmlformats.org/officeDocument/2006/relationships/hyperlink" Target="https://www.vatican.va/content/leo-xiv/pl/apost_letters/documents/20251208-una-fedelta.html" TargetMode="External"/><Relationship Id="rId4" Type="http://schemas.openxmlformats.org/officeDocument/2006/relationships/hyperlink" Target="https://www.vatican.va/content/leo-xiv/pl/events/event.dir.html/content/vaticanevents/pl/2026/3/25/messaggio-vocazioni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1613</Words>
  <Characters>9684</Characters>
  <Application>Microsoft Office Word</Application>
  <DocSecurity>0</DocSecurity>
  <Lines>80</Lines>
  <Paragraphs>22</Paragraphs>
  <ScaleCrop>false</ScaleCrop>
  <Company/>
  <LinksUpToDate>false</LinksUpToDate>
  <CharactersWithSpaces>11275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Grabowska</dc:creator>
  <cp:keywords/>
  <dc:description/>
  <cp:lastModifiedBy>Małgorzata Grabowska</cp:lastModifiedBy>
  <cp:revision>2</cp:revision>
  <dcterms:created xsi:type="dcterms:W3CDTF">2026-04-25T17:13:00Z</dcterms:created>
  <dcterms:modified xsi:type="dcterms:W3CDTF">2026-04-25T17:14:00Z</dcterms:modified>
</cp:coreProperties>
</file>